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15F3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730F680" w14:textId="1A00BFA4" w:rsidR="00EB1C5A" w:rsidRDefault="00EB1C5A" w:rsidP="004321DB">
      <w:pPr>
        <w:pStyle w:val="F2-zkladn"/>
        <w:tabs>
          <w:tab w:val="right" w:pos="9070"/>
        </w:tabs>
      </w:pPr>
      <w:r>
        <w:tab/>
      </w:r>
      <w:r w:rsidR="7C25CE9C">
        <w:t xml:space="preserve"> </w:t>
      </w:r>
      <w:r w:rsidR="00BE16A9">
        <w:t xml:space="preserve">Praha, </w:t>
      </w:r>
      <w:r w:rsidR="00180935">
        <w:t>23</w:t>
      </w:r>
      <w:r w:rsidR="00BE16A9" w:rsidRPr="001665B3">
        <w:t>.</w:t>
      </w:r>
      <w:r w:rsidR="00BE16A9">
        <w:t xml:space="preserve"> </w:t>
      </w:r>
      <w:r w:rsidR="00C328B8">
        <w:t>října</w:t>
      </w:r>
      <w:r w:rsidR="625BE913">
        <w:t xml:space="preserve"> </w:t>
      </w:r>
      <w:r w:rsidR="00BE16A9">
        <w:t>202</w:t>
      </w:r>
      <w:r w:rsidR="00C012A6">
        <w:t>5</w:t>
      </w:r>
    </w:p>
    <w:p w14:paraId="1D4672CB" w14:textId="77777777" w:rsidR="007A39B8" w:rsidRDefault="007A39B8" w:rsidP="007A39B8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A50E59" w14:textId="77777777" w:rsidR="005E16B6" w:rsidRDefault="005E16B6" w:rsidP="007A39B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CA8CB40" w14:textId="497331C3" w:rsidR="007A39B8" w:rsidRDefault="00C328B8" w:rsidP="00C328B8">
      <w:pPr>
        <w:pStyle w:val="Default"/>
        <w:spacing w:line="264" w:lineRule="auto"/>
        <w:jc w:val="center"/>
        <w:rPr>
          <w:rFonts w:eastAsia="Calibri"/>
          <w:b/>
          <w:bCs/>
          <w:color w:val="auto"/>
          <w:sz w:val="26"/>
          <w:szCs w:val="26"/>
        </w:rPr>
      </w:pPr>
      <w:r w:rsidRPr="00C328B8">
        <w:rPr>
          <w:rFonts w:eastAsia="Calibri"/>
          <w:b/>
          <w:bCs/>
          <w:color w:val="auto"/>
          <w:sz w:val="26"/>
          <w:szCs w:val="26"/>
        </w:rPr>
        <w:t>Analýza TPA: prodej Zentivy katapultoval Česko na špičku M&amp;A trhu ve střední Evropě</w:t>
      </w:r>
    </w:p>
    <w:p w14:paraId="44CEA6FE" w14:textId="77777777" w:rsidR="00C328B8" w:rsidRPr="007A39B8" w:rsidRDefault="00C328B8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14:paraId="2AC50AFB" w14:textId="5CB24DFD" w:rsidR="00C64D57" w:rsidRDefault="005500FE" w:rsidP="005500FE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5500FE">
        <w:rPr>
          <w:rFonts w:eastAsia="Times New Roman"/>
          <w:b/>
          <w:bCs/>
          <w:sz w:val="22"/>
          <w:szCs w:val="22"/>
          <w:lang w:eastAsia="cs-CZ"/>
        </w:rPr>
        <w:t>Počet i objem transakcí na trhu fúzí a akvizic v České republice v 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třetím</w:t>
      </w:r>
      <w:r w:rsidRPr="005500FE">
        <w:rPr>
          <w:rFonts w:eastAsia="Times New Roman"/>
          <w:b/>
          <w:bCs/>
          <w:sz w:val="22"/>
          <w:szCs w:val="22"/>
          <w:lang w:eastAsia="cs-CZ"/>
        </w:rPr>
        <w:t xml:space="preserve"> čtvrtletí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 xml:space="preserve">tohoto roku </w:t>
      </w:r>
      <w:r w:rsidRPr="005500FE">
        <w:rPr>
          <w:rFonts w:eastAsia="Times New Roman"/>
          <w:b/>
          <w:bCs/>
          <w:sz w:val="22"/>
          <w:szCs w:val="22"/>
          <w:lang w:eastAsia="cs-CZ"/>
        </w:rPr>
        <w:t>meziročně</w:t>
      </w:r>
      <w:r w:rsidR="00C64D57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135573">
        <w:rPr>
          <w:rFonts w:eastAsia="Times New Roman"/>
          <w:b/>
          <w:bCs/>
          <w:sz w:val="22"/>
          <w:szCs w:val="22"/>
          <w:lang w:eastAsia="cs-CZ"/>
        </w:rPr>
        <w:t>stoupl</w:t>
      </w:r>
      <w:r w:rsidRPr="005500FE">
        <w:rPr>
          <w:rFonts w:eastAsia="Times New Roman"/>
          <w:b/>
          <w:bCs/>
          <w:sz w:val="22"/>
          <w:szCs w:val="22"/>
          <w:lang w:eastAsia="cs-CZ"/>
        </w:rPr>
        <w:t xml:space="preserve">. </w:t>
      </w:r>
      <w:r w:rsidR="00C012A6" w:rsidRPr="00C012A6">
        <w:rPr>
          <w:rFonts w:eastAsia="Times New Roman"/>
          <w:b/>
          <w:bCs/>
          <w:sz w:val="22"/>
          <w:szCs w:val="22"/>
          <w:lang w:eastAsia="cs-CZ"/>
        </w:rPr>
        <w:t>Na území Č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eské republiky</w:t>
      </w:r>
      <w:r w:rsidR="00C012A6" w:rsidRPr="00C012A6">
        <w:rPr>
          <w:rFonts w:eastAsia="Times New Roman"/>
          <w:b/>
          <w:bCs/>
          <w:sz w:val="22"/>
          <w:szCs w:val="22"/>
          <w:lang w:eastAsia="cs-CZ"/>
        </w:rPr>
        <w:t xml:space="preserve"> či se zapojením ČR se uskutečnilo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2</w:t>
      </w:r>
      <w:r w:rsidR="009D26BA">
        <w:rPr>
          <w:rFonts w:eastAsia="Times New Roman"/>
          <w:b/>
          <w:bCs/>
          <w:sz w:val="22"/>
          <w:szCs w:val="22"/>
          <w:lang w:eastAsia="cs-CZ"/>
        </w:rPr>
        <w:t>3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 xml:space="preserve">téměř 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>5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miliard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eur (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121,7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miliardy Kč). Ve stejné období loni to bylo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16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transakcí za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53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 milionů eur (cca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1,29</w:t>
      </w:r>
      <w:r w:rsidR="009D26BA" w:rsidRPr="009D26BA">
        <w:rPr>
          <w:rFonts w:eastAsia="Times New Roman"/>
          <w:b/>
          <w:bCs/>
          <w:sz w:val="22"/>
          <w:szCs w:val="22"/>
          <w:lang w:eastAsia="cs-CZ"/>
        </w:rPr>
        <w:t xml:space="preserve"> miliardy </w:t>
      </w:r>
      <w:r w:rsidR="00C012A6" w:rsidRPr="009D26BA">
        <w:rPr>
          <w:rFonts w:eastAsia="Times New Roman"/>
          <w:b/>
          <w:bCs/>
          <w:sz w:val="22"/>
          <w:szCs w:val="22"/>
          <w:lang w:eastAsia="cs-CZ"/>
        </w:rPr>
        <w:t xml:space="preserve">Kč).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Za v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>ýrazný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m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 xml:space="preserve"> meziroční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m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 xml:space="preserve"> nárůst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em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 xml:space="preserve"> objemu 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stojí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 xml:space="preserve"> především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>akvizic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>e</w:t>
      </w:r>
      <w:r w:rsidR="00C328B8" w:rsidRPr="00C328B8">
        <w:rPr>
          <w:rFonts w:eastAsia="Times New Roman"/>
          <w:b/>
          <w:bCs/>
          <w:sz w:val="22"/>
          <w:szCs w:val="22"/>
          <w:lang w:eastAsia="cs-CZ"/>
        </w:rPr>
        <w:t xml:space="preserve"> společnosti Zentiva Group americkou investiční společností GTCR.</w:t>
      </w:r>
      <w:r w:rsidR="00C328B8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9149D3" w:rsidRPr="009149D3">
        <w:rPr>
          <w:rFonts w:eastAsia="Times New Roman"/>
          <w:b/>
          <w:bCs/>
          <w:sz w:val="22"/>
          <w:szCs w:val="22"/>
          <w:lang w:eastAsia="cs-CZ"/>
        </w:rPr>
        <w:t>Vyplývá to ze statistik poradenské společnosti TPA.</w:t>
      </w:r>
    </w:p>
    <w:p w14:paraId="1F7390DD" w14:textId="77777777" w:rsidR="009674C3" w:rsidRDefault="009674C3" w:rsidP="005500FE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06BDA6FD" w14:textId="2B88A77C" w:rsidR="009674C3" w:rsidRPr="009674C3" w:rsidRDefault="009674C3" w:rsidP="009674C3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9674C3">
        <w:rPr>
          <w:rFonts w:eastAsia="Calibri"/>
          <w:color w:val="auto"/>
          <w:sz w:val="22"/>
          <w:szCs w:val="22"/>
        </w:rPr>
        <w:t xml:space="preserve">Prodej české farmaceutické společnosti Zentiva, která působí ve více než 30 zemích světa, byl zároveň ve třetím čtvrtletí největší transakcí i v celém středoevropském regionu. Dosud firmu vlastnila firma Advent International. </w:t>
      </w:r>
      <w:r w:rsidRPr="009674C3">
        <w:rPr>
          <w:rFonts w:eastAsia="Calibri"/>
          <w:i/>
          <w:iCs/>
          <w:color w:val="auto"/>
          <w:sz w:val="22"/>
          <w:szCs w:val="22"/>
        </w:rPr>
        <w:t>„Hodnota transakce činila zhruba 4,1 miliardy eur, což představuje výrazné zhodnocení oproti ceně 1,9 miliardy eur, kterou Advent za Zentivu zaplatil v roce 2018,“</w:t>
      </w:r>
      <w:r w:rsidRPr="009674C3">
        <w:rPr>
          <w:rFonts w:eastAsia="Calibri"/>
          <w:color w:val="auto"/>
          <w:sz w:val="22"/>
          <w:szCs w:val="22"/>
        </w:rPr>
        <w:t xml:space="preserve"> </w:t>
      </w:r>
      <w:r w:rsidR="0071272D">
        <w:rPr>
          <w:rFonts w:eastAsia="Calibri"/>
          <w:color w:val="auto"/>
          <w:sz w:val="22"/>
          <w:szCs w:val="22"/>
        </w:rPr>
        <w:t xml:space="preserve">uvedl </w:t>
      </w:r>
      <w:r w:rsidR="0071272D" w:rsidRPr="007672E8">
        <w:rPr>
          <w:rFonts w:eastAsia="Calibri"/>
          <w:color w:val="auto"/>
          <w:sz w:val="22"/>
          <w:szCs w:val="22"/>
        </w:rPr>
        <w:t xml:space="preserve">Jiří Hlaváč partner TPA </w:t>
      </w:r>
      <w:proofErr w:type="spellStart"/>
      <w:r w:rsidR="0071272D" w:rsidRPr="007672E8">
        <w:rPr>
          <w:rFonts w:eastAsia="Calibri"/>
          <w:color w:val="auto"/>
          <w:sz w:val="22"/>
          <w:szCs w:val="22"/>
        </w:rPr>
        <w:t>Valuation</w:t>
      </w:r>
      <w:proofErr w:type="spellEnd"/>
      <w:r w:rsidR="0071272D" w:rsidRPr="007672E8">
        <w:rPr>
          <w:rFonts w:eastAsia="Calibri"/>
          <w:color w:val="auto"/>
          <w:sz w:val="22"/>
          <w:szCs w:val="22"/>
        </w:rPr>
        <w:t xml:space="preserve"> &amp; Advisory.</w:t>
      </w:r>
      <w:r w:rsidR="0071272D">
        <w:rPr>
          <w:rFonts w:eastAsia="Calibri"/>
          <w:color w:val="auto"/>
          <w:sz w:val="22"/>
          <w:szCs w:val="22"/>
        </w:rPr>
        <w:t xml:space="preserve"> </w:t>
      </w:r>
      <w:r w:rsidRPr="009674C3">
        <w:rPr>
          <w:rFonts w:eastAsia="Calibri"/>
          <w:color w:val="auto"/>
          <w:sz w:val="22"/>
          <w:szCs w:val="22"/>
        </w:rPr>
        <w:t>Dokončení prodeje se očekává příští rok po schválení regulačními orgány.</w:t>
      </w:r>
    </w:p>
    <w:p w14:paraId="3BD57386" w14:textId="77777777" w:rsidR="009674C3" w:rsidRDefault="009674C3" w:rsidP="005500FE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6DF28047" w14:textId="59810563" w:rsidR="00C328B8" w:rsidRPr="00742833" w:rsidRDefault="00742833" w:rsidP="005500FE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742833">
        <w:rPr>
          <w:rFonts w:eastAsia="Calibri"/>
          <w:color w:val="auto"/>
          <w:sz w:val="22"/>
          <w:szCs w:val="22"/>
        </w:rPr>
        <w:t>Druhou nejvýznamnější zveřejněnou transakcí v ČR byla akvizice 51</w:t>
      </w:r>
      <w:r>
        <w:rPr>
          <w:rFonts w:eastAsia="Calibri"/>
          <w:color w:val="auto"/>
          <w:sz w:val="22"/>
          <w:szCs w:val="22"/>
        </w:rPr>
        <w:t>%</w:t>
      </w:r>
      <w:r w:rsidRPr="00742833">
        <w:rPr>
          <w:rFonts w:eastAsia="Calibri"/>
          <w:color w:val="auto"/>
          <w:sz w:val="22"/>
          <w:szCs w:val="22"/>
        </w:rPr>
        <w:t xml:space="preserve"> podílu ve společnosti Synthesia </w:t>
      </w:r>
      <w:proofErr w:type="spellStart"/>
      <w:r w:rsidRPr="00742833">
        <w:rPr>
          <w:rFonts w:eastAsia="Calibri"/>
          <w:color w:val="auto"/>
          <w:sz w:val="22"/>
          <w:szCs w:val="22"/>
        </w:rPr>
        <w:t>Nitrocellulose</w:t>
      </w:r>
      <w:proofErr w:type="spellEnd"/>
      <w:r w:rsidRPr="00742833">
        <w:rPr>
          <w:rFonts w:eastAsia="Calibri"/>
          <w:color w:val="auto"/>
          <w:sz w:val="22"/>
          <w:szCs w:val="22"/>
        </w:rPr>
        <w:t xml:space="preserve"> zbrojařskou skupinou </w:t>
      </w:r>
      <w:proofErr w:type="spellStart"/>
      <w:r w:rsidRPr="00742833">
        <w:rPr>
          <w:rFonts w:eastAsia="Calibri"/>
          <w:color w:val="auto"/>
          <w:sz w:val="22"/>
          <w:szCs w:val="22"/>
        </w:rPr>
        <w:t>Colt</w:t>
      </w:r>
      <w:proofErr w:type="spellEnd"/>
      <w:r w:rsidRPr="00742833">
        <w:rPr>
          <w:rFonts w:eastAsia="Calibri"/>
          <w:color w:val="auto"/>
          <w:sz w:val="22"/>
          <w:szCs w:val="22"/>
        </w:rPr>
        <w:t xml:space="preserve"> CZ. Ta koupila podíl od KAPRAIN Group. Zbývajících 49 procent plánuje </w:t>
      </w:r>
      <w:proofErr w:type="spellStart"/>
      <w:r w:rsidRPr="00742833">
        <w:rPr>
          <w:rFonts w:eastAsia="Calibri"/>
          <w:color w:val="auto"/>
          <w:sz w:val="22"/>
          <w:szCs w:val="22"/>
        </w:rPr>
        <w:t>Colt</w:t>
      </w:r>
      <w:proofErr w:type="spellEnd"/>
      <w:r w:rsidRPr="00742833">
        <w:rPr>
          <w:rFonts w:eastAsia="Calibri"/>
          <w:color w:val="auto"/>
          <w:sz w:val="22"/>
          <w:szCs w:val="22"/>
        </w:rPr>
        <w:t xml:space="preserve"> získat v letech 2028 až 2032. Stane se tak na základě již sjednaného mechanismu opce s pevně stanovenou valuací. Synthesia </w:t>
      </w:r>
      <w:proofErr w:type="spellStart"/>
      <w:r w:rsidRPr="00742833">
        <w:rPr>
          <w:rFonts w:eastAsia="Calibri"/>
          <w:color w:val="auto"/>
          <w:sz w:val="22"/>
          <w:szCs w:val="22"/>
        </w:rPr>
        <w:t>Nitrocellulose</w:t>
      </w:r>
      <w:proofErr w:type="spellEnd"/>
      <w:r w:rsidRPr="00742833">
        <w:rPr>
          <w:rFonts w:eastAsia="Calibri"/>
          <w:color w:val="auto"/>
          <w:sz w:val="22"/>
          <w:szCs w:val="22"/>
        </w:rPr>
        <w:t xml:space="preserve"> patří k největším evropským výrobcům takzvané energetické nitrocelulózy, která je základní surovinou pro výrobu střelného prachu a zásadní složkou pro produkci různých druhů munice.</w:t>
      </w:r>
    </w:p>
    <w:p w14:paraId="46CC75F2" w14:textId="77777777" w:rsidR="0071272D" w:rsidRDefault="0071272D" w:rsidP="005500FE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5E6CBC20" w14:textId="0CAEE9B4" w:rsidR="007672E8" w:rsidRPr="00A75C98" w:rsidRDefault="00742833" w:rsidP="00A75C98">
      <w:pPr>
        <w:jc w:val="both"/>
        <w:rPr>
          <w:rFonts w:ascii="Arial" w:hAnsi="Arial" w:cs="Arial"/>
        </w:rPr>
      </w:pPr>
      <w:r w:rsidRPr="00742833">
        <w:rPr>
          <w:rFonts w:ascii="Arial" w:hAnsi="Arial" w:cs="Arial"/>
        </w:rPr>
        <w:t>V celém středoevropském regionu (Albánie, Bulharsko, Černá Hora, Česká republika, Chorvatsko, Maďarsko, Polsko, Rakousko, Rumunsko, Slovensko, Slovinsko a Srbsko) TPA registruje meziroční pokles počtu transakcí o 27 procent na 179. Na druhou stranu objem transakcí stoupl, mj. díky prodeji Zentiva Group, na 7,42 miliardy eur (zhruba 181 miliard Kč) z 5,51 miliardy eur (cca 134 miliard Kč) ve stejném období loni. Nejvíce transakcí bylo zaznamenáno opět v Polsku, a zemí s největším objemem se stala Česká republika.</w:t>
      </w:r>
    </w:p>
    <w:p w14:paraId="22392083" w14:textId="77777777" w:rsidR="00742833" w:rsidRDefault="007672E8" w:rsidP="002D345D">
      <w:pPr>
        <w:jc w:val="both"/>
        <w:rPr>
          <w:rFonts w:ascii="Arial" w:hAnsi="Arial" w:cs="Arial"/>
        </w:rPr>
      </w:pPr>
      <w:r w:rsidRPr="00466635">
        <w:rPr>
          <w:rFonts w:ascii="Arial" w:hAnsi="Arial" w:cs="Arial"/>
        </w:rPr>
        <w:t>Situac</w:t>
      </w:r>
      <w:r w:rsidR="00742833">
        <w:rPr>
          <w:rFonts w:ascii="Arial" w:hAnsi="Arial" w:cs="Arial"/>
        </w:rPr>
        <w:t>e</w:t>
      </w:r>
      <w:r w:rsidRPr="00466635">
        <w:rPr>
          <w:rFonts w:ascii="Arial" w:hAnsi="Arial" w:cs="Arial"/>
        </w:rPr>
        <w:t xml:space="preserve"> na trhu fúzí a akvizic </w:t>
      </w:r>
      <w:r w:rsidR="00742833">
        <w:rPr>
          <w:rFonts w:ascii="Arial" w:hAnsi="Arial" w:cs="Arial"/>
        </w:rPr>
        <w:t xml:space="preserve">je </w:t>
      </w:r>
      <w:r w:rsidRPr="00466635">
        <w:rPr>
          <w:rFonts w:ascii="Arial" w:hAnsi="Arial" w:cs="Arial"/>
        </w:rPr>
        <w:t xml:space="preserve">podle </w:t>
      </w:r>
      <w:r w:rsidR="00466635">
        <w:rPr>
          <w:rFonts w:ascii="Arial" w:hAnsi="Arial" w:cs="Arial"/>
        </w:rPr>
        <w:t>Jiřího Hlaváče</w:t>
      </w:r>
      <w:r w:rsidRPr="00466635">
        <w:rPr>
          <w:rFonts w:ascii="Arial" w:hAnsi="Arial" w:cs="Arial"/>
        </w:rPr>
        <w:t xml:space="preserve"> nadále ovliv</w:t>
      </w:r>
      <w:r w:rsidR="00742833">
        <w:rPr>
          <w:rFonts w:ascii="Arial" w:hAnsi="Arial" w:cs="Arial"/>
        </w:rPr>
        <w:t xml:space="preserve">něna </w:t>
      </w:r>
      <w:r w:rsidR="00742833" w:rsidRPr="00742833">
        <w:rPr>
          <w:rFonts w:ascii="Arial" w:hAnsi="Arial" w:cs="Arial"/>
        </w:rPr>
        <w:t xml:space="preserve">vysokou mírou nejistoty, která pramení z pokračujícího konfliktu na Ukrajině. Na situaci má také vliv nestabilní globální bezpečnostní situace a geopolitické napětí. </w:t>
      </w:r>
    </w:p>
    <w:p w14:paraId="1EA85B14" w14:textId="009F7E3B" w:rsidR="00742833" w:rsidRPr="00742833" w:rsidRDefault="00742833" w:rsidP="00742833">
      <w:pPr>
        <w:rPr>
          <w:rFonts w:ascii="Arial" w:hAnsi="Arial" w:cs="Arial"/>
        </w:rPr>
      </w:pPr>
      <w:r w:rsidRPr="00742833">
        <w:rPr>
          <w:rFonts w:ascii="Arial" w:hAnsi="Arial" w:cs="Arial"/>
          <w:i/>
          <w:iCs/>
        </w:rPr>
        <w:t>„Výhled na zbytek roku zůstává opatrný, přesto však nelze vyloučit oživení v atraktivních segmentech,“</w:t>
      </w:r>
      <w:r w:rsidRPr="00742833">
        <w:rPr>
          <w:rFonts w:ascii="Arial" w:hAnsi="Arial" w:cs="Arial"/>
        </w:rPr>
        <w:t xml:space="preserve"> uvedl </w:t>
      </w:r>
      <w:r>
        <w:rPr>
          <w:rFonts w:ascii="Arial" w:hAnsi="Arial" w:cs="Arial"/>
        </w:rPr>
        <w:t>Jiří Hlaváč.</w:t>
      </w:r>
      <w:r w:rsidRPr="00742833">
        <w:rPr>
          <w:rFonts w:ascii="Arial" w:hAnsi="Arial" w:cs="Arial"/>
        </w:rPr>
        <w:t xml:space="preserve"> Investoři se podle něj dlouhodobě orientují na sektory, jako jsou software, automatizace, digitalizace, robotizace a telekomunikace. Vysoká atraktivita je nadále spojena také s energetikou, zdravotnictvím a infrastrukturou</w:t>
      </w:r>
      <w:r>
        <w:rPr>
          <w:rFonts w:ascii="Arial" w:hAnsi="Arial" w:cs="Arial"/>
        </w:rPr>
        <w:t xml:space="preserve">. Stabilní zájem zůstává také o výrobu </w:t>
      </w:r>
      <w:r w:rsidRPr="00742833">
        <w:rPr>
          <w:rFonts w:ascii="Arial" w:hAnsi="Arial" w:cs="Arial"/>
        </w:rPr>
        <w:t>unikátní</w:t>
      </w:r>
      <w:r>
        <w:rPr>
          <w:rFonts w:ascii="Arial" w:hAnsi="Arial" w:cs="Arial"/>
        </w:rPr>
        <w:t>ch</w:t>
      </w:r>
      <w:r w:rsidRPr="00742833">
        <w:rPr>
          <w:rFonts w:ascii="Arial" w:hAnsi="Arial" w:cs="Arial"/>
        </w:rPr>
        <w:t xml:space="preserve"> produkt</w:t>
      </w:r>
      <w:r>
        <w:rPr>
          <w:rFonts w:ascii="Arial" w:hAnsi="Arial" w:cs="Arial"/>
        </w:rPr>
        <w:t>ů</w:t>
      </w:r>
      <w:r w:rsidRPr="00742833">
        <w:rPr>
          <w:rFonts w:ascii="Arial" w:hAnsi="Arial" w:cs="Arial"/>
        </w:rPr>
        <w:t>.</w:t>
      </w:r>
    </w:p>
    <w:p w14:paraId="30870096" w14:textId="77777777" w:rsidR="00742833" w:rsidRDefault="00742833" w:rsidP="002D345D">
      <w:pPr>
        <w:jc w:val="both"/>
        <w:rPr>
          <w:rFonts w:ascii="Arial" w:hAnsi="Arial" w:cs="Arial"/>
        </w:rPr>
      </w:pPr>
    </w:p>
    <w:p w14:paraId="39E0E798" w14:textId="4910CAC1" w:rsidR="0024364D" w:rsidRPr="006B4B86" w:rsidRDefault="00FC081F" w:rsidP="006B4B86">
      <w:pPr>
        <w:pStyle w:val="Default"/>
        <w:spacing w:line="264" w:lineRule="auto"/>
        <w:jc w:val="both"/>
        <w:rPr>
          <w:rFonts w:eastAsia="Calibri"/>
          <w:color w:val="auto"/>
          <w:sz w:val="22"/>
          <w:szCs w:val="22"/>
        </w:rPr>
      </w:pPr>
      <w:r w:rsidRPr="00FC081F">
        <w:rPr>
          <w:rFonts w:eastAsia="Calibri"/>
          <w:color w:val="auto"/>
          <w:sz w:val="22"/>
          <w:szCs w:val="22"/>
        </w:rPr>
        <w:lastRenderedPageBreak/>
        <w:t>Ve srovnání se druhým čtvrtletím letošního roku v celém regionu klesl počet transakcí o 52, přičemž objem transakcí stoupl z 6,07 miliardy eur ve druhém čtvrtletí. V Česku počet transakcí mezičtvrtletně klesl o tři, naopak objem stoupl o 4,78 miliardy eur (214 milionů eur v 2. čtvrtletí 2025 vs. 4,996 miliardy eur v</w:t>
      </w:r>
      <w:r w:rsidR="000516E7">
        <w:rPr>
          <w:rFonts w:eastAsia="Calibri"/>
          <w:color w:val="auto"/>
          <w:sz w:val="22"/>
          <w:szCs w:val="22"/>
        </w:rPr>
        <w:t>e</w:t>
      </w:r>
      <w:r w:rsidRPr="00FC081F">
        <w:rPr>
          <w:rFonts w:eastAsia="Calibri"/>
          <w:color w:val="auto"/>
          <w:sz w:val="22"/>
          <w:szCs w:val="22"/>
        </w:rPr>
        <w:t xml:space="preserve"> 3. čtvrtletí).</w:t>
      </w:r>
    </w:p>
    <w:p w14:paraId="368A6582" w14:textId="77777777"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6502C4" w14:textId="77777777" w:rsidR="00EB1C5A" w:rsidRPr="007A39B8" w:rsidRDefault="00EB1C5A" w:rsidP="007A39B8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14:paraId="1C28118A" w14:textId="73FE04A0" w:rsidR="00EB1C5A" w:rsidRPr="007A39B8" w:rsidRDefault="002A3294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7A39B8">
        <w:rPr>
          <w:rFonts w:ascii="Arial" w:hAnsi="Arial" w:cs="Arial"/>
          <w:sz w:val="20"/>
          <w:szCs w:val="20"/>
        </w:rPr>
        <w:t>Žitnáková</w:t>
      </w:r>
      <w:proofErr w:type="spellEnd"/>
    </w:p>
    <w:p w14:paraId="4835AA2F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39B8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7A39B8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4DCE98C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proofErr w:type="spellStart"/>
      <w:r w:rsidRPr="007A39B8">
        <w:rPr>
          <w:rFonts w:ascii="Arial" w:hAnsi="Arial" w:cs="Arial"/>
          <w:sz w:val="20"/>
          <w:szCs w:val="20"/>
        </w:rPr>
        <w:t>gsm</w:t>
      </w:r>
      <w:proofErr w:type="spellEnd"/>
      <w:r w:rsidRPr="007A39B8">
        <w:rPr>
          <w:rFonts w:ascii="Arial" w:hAnsi="Arial" w:cs="Arial"/>
          <w:sz w:val="20"/>
          <w:szCs w:val="20"/>
        </w:rPr>
        <w:t xml:space="preserve">: + 420 </w:t>
      </w:r>
      <w:r w:rsidR="003D5F96" w:rsidRPr="007A39B8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Pr="007A39B8" w:rsidRDefault="00EB1C5A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="002A3294" w:rsidRPr="007A39B8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C9BF7BF" w14:textId="77777777" w:rsidR="002A3294" w:rsidRDefault="002A3294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02B11144" w14:textId="77777777" w:rsidR="007A39B8" w:rsidRPr="007A39B8" w:rsidRDefault="007A39B8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7DDF97E7" w14:textId="6C9F6855" w:rsidR="005A2DC0" w:rsidRPr="000516E7" w:rsidRDefault="000516E7" w:rsidP="000516E7">
      <w:pPr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společnosti TPA</w:t>
      </w:r>
      <w:r w:rsidR="00EB1C5A" w:rsidRPr="007A39B8">
        <w:rPr>
          <w:rFonts w:ascii="Arial" w:hAnsi="Arial" w:cs="Arial"/>
          <w:b/>
          <w:sz w:val="20"/>
          <w:szCs w:val="20"/>
        </w:rPr>
        <w:t>:</w:t>
      </w:r>
    </w:p>
    <w:p w14:paraId="05D36A23" w14:textId="77777777" w:rsidR="00EB1C5A" w:rsidRDefault="00EB1C5A" w:rsidP="007A39B8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="00483CC4" w:rsidRPr="007A39B8">
        <w:t>e dvanácti</w:t>
      </w:r>
      <w:r w:rsidRPr="007A39B8">
        <w:t xml:space="preserve"> zemích střední a jihovýchodní Evropy. </w:t>
      </w:r>
      <w:r w:rsidR="009B0DF4" w:rsidRPr="007A39B8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</w:t>
      </w:r>
      <w:proofErr w:type="spellStart"/>
      <w:r w:rsidRPr="007A39B8">
        <w:rPr>
          <w:b/>
        </w:rPr>
        <w:t>Baker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Tilly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Europe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Alliance</w:t>
      </w:r>
      <w:proofErr w:type="spellEnd"/>
      <w:r w:rsidRPr="007A39B8">
        <w:t xml:space="preserve">, jejímiž dalšími členy je celosvětová poradenská síť </w:t>
      </w:r>
      <w:hyperlink r:id="rId11" w:history="1">
        <w:proofErr w:type="spellStart"/>
        <w:r w:rsidRPr="007A39B8">
          <w:rPr>
            <w:rStyle w:val="Hypertextovodkaz"/>
            <w:b/>
          </w:rPr>
          <w:t>Baker</w:t>
        </w:r>
        <w:proofErr w:type="spellEnd"/>
        <w:r w:rsidRPr="007A39B8">
          <w:rPr>
            <w:rStyle w:val="Hypertextovodkaz"/>
            <w:b/>
          </w:rPr>
          <w:t xml:space="preserve"> </w:t>
        </w:r>
        <w:proofErr w:type="spellStart"/>
        <w:r w:rsidRPr="007A39B8">
          <w:rPr>
            <w:rStyle w:val="Hypertextovodkaz"/>
            <w:b/>
          </w:rPr>
          <w:t>Tilly</w:t>
        </w:r>
        <w:proofErr w:type="spellEnd"/>
        <w:r w:rsidRPr="007A39B8">
          <w:rPr>
            <w:rStyle w:val="Hypertextovodkaz"/>
            <w:b/>
          </w:rPr>
          <w:t xml:space="preserve"> International</w:t>
        </w:r>
      </w:hyperlink>
      <w:r w:rsidRPr="007A39B8">
        <w:t xml:space="preserve"> a samostatný člen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</w:t>
      </w:r>
      <w:hyperlink r:id="rId12" w:history="1">
        <w:proofErr w:type="spellStart"/>
        <w:r w:rsidR="00433B9A" w:rsidRPr="007A39B8">
          <w:rPr>
            <w:rStyle w:val="Hypertextovodkaz"/>
            <w:b/>
          </w:rPr>
          <w:t>Baker</w:t>
        </w:r>
        <w:proofErr w:type="spellEnd"/>
        <w:r w:rsidR="00433B9A" w:rsidRPr="007A39B8">
          <w:rPr>
            <w:rStyle w:val="Hypertextovodkaz"/>
            <w:b/>
          </w:rPr>
          <w:t xml:space="preserve"> </w:t>
        </w:r>
        <w:proofErr w:type="spellStart"/>
        <w:r w:rsidR="00433B9A" w:rsidRPr="007A39B8">
          <w:rPr>
            <w:rStyle w:val="Hypertextovodkaz"/>
            <w:b/>
          </w:rPr>
          <w:t>Tilly</w:t>
        </w:r>
        <w:proofErr w:type="spellEnd"/>
      </w:hyperlink>
      <w:r w:rsidRPr="007A39B8">
        <w:t xml:space="preserve"> v Německu. Díky členství v 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</w:t>
      </w:r>
      <w:proofErr w:type="spellStart"/>
      <w:r w:rsidRPr="007A39B8">
        <w:t>Europe</w:t>
      </w:r>
      <w:proofErr w:type="spellEnd"/>
      <w:r w:rsidRPr="007A39B8">
        <w:t xml:space="preserve"> </w:t>
      </w:r>
      <w:proofErr w:type="spellStart"/>
      <w:r w:rsidRPr="007A39B8">
        <w:t>Allience</w:t>
      </w:r>
      <w:proofErr w:type="spellEnd"/>
      <w:r w:rsidRPr="007A39B8">
        <w:t xml:space="preserve"> nabízí skupina TPA Group svým klientům služby globální sítě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která patří do první desítky celosvětových poradenských sítí. </w:t>
      </w:r>
    </w:p>
    <w:p w14:paraId="24B4D0B6" w14:textId="77777777" w:rsidR="00BA2004" w:rsidRPr="007A39B8" w:rsidRDefault="00BA2004" w:rsidP="007A39B8">
      <w:pPr>
        <w:pStyle w:val="F2-zkladn"/>
        <w:spacing w:before="0" w:line="264" w:lineRule="auto"/>
      </w:pPr>
    </w:p>
    <w:p w14:paraId="1A9B85E0" w14:textId="01DD576C" w:rsidR="001272D9" w:rsidRDefault="001272D9"/>
    <w:sectPr w:rsidR="001272D9" w:rsidSect="00FD07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4E62" w14:textId="77777777" w:rsidR="00B73BFB" w:rsidRDefault="00B73BFB" w:rsidP="00087B0F">
      <w:pPr>
        <w:spacing w:after="0" w:line="240" w:lineRule="auto"/>
      </w:pPr>
      <w:r>
        <w:separator/>
      </w:r>
    </w:p>
  </w:endnote>
  <w:endnote w:type="continuationSeparator" w:id="0">
    <w:p w14:paraId="5ECB1151" w14:textId="77777777" w:rsidR="00B73BFB" w:rsidRDefault="00B73BFB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91B9" w14:textId="77777777" w:rsidR="00B73BFB" w:rsidRDefault="00B73BFB" w:rsidP="00087B0F">
      <w:pPr>
        <w:spacing w:after="0" w:line="240" w:lineRule="auto"/>
      </w:pPr>
      <w:r>
        <w:separator/>
      </w:r>
    </w:p>
  </w:footnote>
  <w:footnote w:type="continuationSeparator" w:id="0">
    <w:p w14:paraId="207967EB" w14:textId="77777777" w:rsidR="00B73BFB" w:rsidRDefault="00B73BFB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BE7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34EAB"/>
    <w:rsid w:val="000474F2"/>
    <w:rsid w:val="0005087E"/>
    <w:rsid w:val="000516E7"/>
    <w:rsid w:val="00056B71"/>
    <w:rsid w:val="00063FCD"/>
    <w:rsid w:val="00065420"/>
    <w:rsid w:val="00072CA9"/>
    <w:rsid w:val="00087B0F"/>
    <w:rsid w:val="000A2944"/>
    <w:rsid w:val="000B1F52"/>
    <w:rsid w:val="000E0603"/>
    <w:rsid w:val="000F648D"/>
    <w:rsid w:val="001272D9"/>
    <w:rsid w:val="001349D3"/>
    <w:rsid w:val="00135573"/>
    <w:rsid w:val="00147AAD"/>
    <w:rsid w:val="001514D6"/>
    <w:rsid w:val="00160615"/>
    <w:rsid w:val="001643CE"/>
    <w:rsid w:val="001665B3"/>
    <w:rsid w:val="00180935"/>
    <w:rsid w:val="001833EC"/>
    <w:rsid w:val="00190F27"/>
    <w:rsid w:val="001B248E"/>
    <w:rsid w:val="001C0CE4"/>
    <w:rsid w:val="001E27EA"/>
    <w:rsid w:val="001F387C"/>
    <w:rsid w:val="001F501D"/>
    <w:rsid w:val="002212EA"/>
    <w:rsid w:val="0022496F"/>
    <w:rsid w:val="00232D8F"/>
    <w:rsid w:val="00235BCD"/>
    <w:rsid w:val="0024364D"/>
    <w:rsid w:val="002467AC"/>
    <w:rsid w:val="002468A7"/>
    <w:rsid w:val="0025133B"/>
    <w:rsid w:val="0027105E"/>
    <w:rsid w:val="002948D0"/>
    <w:rsid w:val="002A3294"/>
    <w:rsid w:val="002A7D37"/>
    <w:rsid w:val="002D345D"/>
    <w:rsid w:val="002D4C48"/>
    <w:rsid w:val="002E39E1"/>
    <w:rsid w:val="00302ABC"/>
    <w:rsid w:val="0030704F"/>
    <w:rsid w:val="00307EBA"/>
    <w:rsid w:val="003143B9"/>
    <w:rsid w:val="003164A3"/>
    <w:rsid w:val="00316D20"/>
    <w:rsid w:val="003371D5"/>
    <w:rsid w:val="003749FA"/>
    <w:rsid w:val="00381597"/>
    <w:rsid w:val="00385385"/>
    <w:rsid w:val="003916F2"/>
    <w:rsid w:val="003B5AE8"/>
    <w:rsid w:val="003B5B7A"/>
    <w:rsid w:val="003D33AF"/>
    <w:rsid w:val="003D5F96"/>
    <w:rsid w:val="004010C0"/>
    <w:rsid w:val="00410BBE"/>
    <w:rsid w:val="00414BA1"/>
    <w:rsid w:val="00415AAB"/>
    <w:rsid w:val="004321DB"/>
    <w:rsid w:val="00433144"/>
    <w:rsid w:val="00433B9A"/>
    <w:rsid w:val="004432AB"/>
    <w:rsid w:val="0044506B"/>
    <w:rsid w:val="00466635"/>
    <w:rsid w:val="00474216"/>
    <w:rsid w:val="00483CC4"/>
    <w:rsid w:val="00490F1B"/>
    <w:rsid w:val="00494A82"/>
    <w:rsid w:val="00494D1A"/>
    <w:rsid w:val="004C261B"/>
    <w:rsid w:val="004D4BBC"/>
    <w:rsid w:val="004E2B60"/>
    <w:rsid w:val="004F1F03"/>
    <w:rsid w:val="0051646C"/>
    <w:rsid w:val="005318CD"/>
    <w:rsid w:val="0053615C"/>
    <w:rsid w:val="00544EA3"/>
    <w:rsid w:val="005500FE"/>
    <w:rsid w:val="005744B2"/>
    <w:rsid w:val="00590F8E"/>
    <w:rsid w:val="005A2487"/>
    <w:rsid w:val="005A2DC0"/>
    <w:rsid w:val="005E16B6"/>
    <w:rsid w:val="006271A1"/>
    <w:rsid w:val="00643BFA"/>
    <w:rsid w:val="00650005"/>
    <w:rsid w:val="00667056"/>
    <w:rsid w:val="00677F43"/>
    <w:rsid w:val="006A65B5"/>
    <w:rsid w:val="006A7542"/>
    <w:rsid w:val="006B4B86"/>
    <w:rsid w:val="006B531A"/>
    <w:rsid w:val="006D4648"/>
    <w:rsid w:val="006D4B45"/>
    <w:rsid w:val="006E6C5B"/>
    <w:rsid w:val="006F39F5"/>
    <w:rsid w:val="00704800"/>
    <w:rsid w:val="0071272D"/>
    <w:rsid w:val="00732B15"/>
    <w:rsid w:val="00734F7E"/>
    <w:rsid w:val="00735B2F"/>
    <w:rsid w:val="00742833"/>
    <w:rsid w:val="0075184E"/>
    <w:rsid w:val="00756665"/>
    <w:rsid w:val="00764026"/>
    <w:rsid w:val="007672E8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820D1C"/>
    <w:rsid w:val="00876906"/>
    <w:rsid w:val="008A6922"/>
    <w:rsid w:val="008B71E2"/>
    <w:rsid w:val="008C35C6"/>
    <w:rsid w:val="008D0DB2"/>
    <w:rsid w:val="008D2CED"/>
    <w:rsid w:val="008D30B5"/>
    <w:rsid w:val="008E0CBB"/>
    <w:rsid w:val="008E4064"/>
    <w:rsid w:val="00911D3B"/>
    <w:rsid w:val="009149D3"/>
    <w:rsid w:val="009312EA"/>
    <w:rsid w:val="0094373B"/>
    <w:rsid w:val="009448BF"/>
    <w:rsid w:val="00965886"/>
    <w:rsid w:val="00965982"/>
    <w:rsid w:val="009674C3"/>
    <w:rsid w:val="00976D76"/>
    <w:rsid w:val="0097794D"/>
    <w:rsid w:val="0099767A"/>
    <w:rsid w:val="00997BD4"/>
    <w:rsid w:val="009A0B16"/>
    <w:rsid w:val="009A62A1"/>
    <w:rsid w:val="009B0DF4"/>
    <w:rsid w:val="009D26BA"/>
    <w:rsid w:val="009F5D62"/>
    <w:rsid w:val="009F6061"/>
    <w:rsid w:val="00A03AEB"/>
    <w:rsid w:val="00A33148"/>
    <w:rsid w:val="00A71FE0"/>
    <w:rsid w:val="00A74319"/>
    <w:rsid w:val="00A75C98"/>
    <w:rsid w:val="00A75E11"/>
    <w:rsid w:val="00A77597"/>
    <w:rsid w:val="00AA1EC4"/>
    <w:rsid w:val="00AA2DB4"/>
    <w:rsid w:val="00AD0D2A"/>
    <w:rsid w:val="00AD6570"/>
    <w:rsid w:val="00AE3FEF"/>
    <w:rsid w:val="00AF63E5"/>
    <w:rsid w:val="00B121F9"/>
    <w:rsid w:val="00B362B0"/>
    <w:rsid w:val="00B47281"/>
    <w:rsid w:val="00B66D84"/>
    <w:rsid w:val="00B73BFB"/>
    <w:rsid w:val="00BA2004"/>
    <w:rsid w:val="00BA7058"/>
    <w:rsid w:val="00BB2F4F"/>
    <w:rsid w:val="00BC4A3D"/>
    <w:rsid w:val="00BD2839"/>
    <w:rsid w:val="00BE16A9"/>
    <w:rsid w:val="00BF7D01"/>
    <w:rsid w:val="00BF7EDF"/>
    <w:rsid w:val="00C012A6"/>
    <w:rsid w:val="00C27561"/>
    <w:rsid w:val="00C328B8"/>
    <w:rsid w:val="00C43F8F"/>
    <w:rsid w:val="00C64D57"/>
    <w:rsid w:val="00C92F96"/>
    <w:rsid w:val="00CB1852"/>
    <w:rsid w:val="00CC1656"/>
    <w:rsid w:val="00CD0F82"/>
    <w:rsid w:val="00CD249C"/>
    <w:rsid w:val="00D01576"/>
    <w:rsid w:val="00D04011"/>
    <w:rsid w:val="00D05BA1"/>
    <w:rsid w:val="00D23939"/>
    <w:rsid w:val="00D26944"/>
    <w:rsid w:val="00D4284D"/>
    <w:rsid w:val="00D516E6"/>
    <w:rsid w:val="00D579C4"/>
    <w:rsid w:val="00D67270"/>
    <w:rsid w:val="00D72C84"/>
    <w:rsid w:val="00D73B92"/>
    <w:rsid w:val="00D74683"/>
    <w:rsid w:val="00D93651"/>
    <w:rsid w:val="00DA18DA"/>
    <w:rsid w:val="00DB6D1B"/>
    <w:rsid w:val="00DC0782"/>
    <w:rsid w:val="00DC112F"/>
    <w:rsid w:val="00DC66EC"/>
    <w:rsid w:val="00DD06BF"/>
    <w:rsid w:val="00DF2CDA"/>
    <w:rsid w:val="00DF5919"/>
    <w:rsid w:val="00DF7E3A"/>
    <w:rsid w:val="00E20A11"/>
    <w:rsid w:val="00E30CAC"/>
    <w:rsid w:val="00E62DFE"/>
    <w:rsid w:val="00E9566A"/>
    <w:rsid w:val="00E97493"/>
    <w:rsid w:val="00EA436F"/>
    <w:rsid w:val="00EB1C5A"/>
    <w:rsid w:val="00ED4CF4"/>
    <w:rsid w:val="00F00E13"/>
    <w:rsid w:val="00F230EE"/>
    <w:rsid w:val="00F32BD2"/>
    <w:rsid w:val="00F36A0A"/>
    <w:rsid w:val="00F41FA0"/>
    <w:rsid w:val="00F80911"/>
    <w:rsid w:val="00FC081F"/>
    <w:rsid w:val="00FD0701"/>
    <w:rsid w:val="00FE255D"/>
    <w:rsid w:val="00FF47A3"/>
    <w:rsid w:val="0239750A"/>
    <w:rsid w:val="024FA9DA"/>
    <w:rsid w:val="026A6F84"/>
    <w:rsid w:val="02C5C4BA"/>
    <w:rsid w:val="039DD79F"/>
    <w:rsid w:val="03CB2327"/>
    <w:rsid w:val="04063FE5"/>
    <w:rsid w:val="044554D7"/>
    <w:rsid w:val="061501E2"/>
    <w:rsid w:val="06AE04F5"/>
    <w:rsid w:val="06D76539"/>
    <w:rsid w:val="06DC7D90"/>
    <w:rsid w:val="0702C3E9"/>
    <w:rsid w:val="07130723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59AC75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5F4054"/>
    <w:rsid w:val="43D3917C"/>
    <w:rsid w:val="449DBB84"/>
    <w:rsid w:val="456239FE"/>
    <w:rsid w:val="45A79B91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365FA19"/>
    <w:rsid w:val="54C14231"/>
    <w:rsid w:val="55517EB9"/>
    <w:rsid w:val="57025B1C"/>
    <w:rsid w:val="574DCD63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C5F9FD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4F16EB6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B72F05E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kertilly.d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kertillyinternational.com/web/home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amila.zitnakova@crestcom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A623-DF1C-419B-AF75-233BA4F6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21</cp:revision>
  <cp:lastPrinted>2016-08-25T19:42:00Z</cp:lastPrinted>
  <dcterms:created xsi:type="dcterms:W3CDTF">2024-07-15T12:33:00Z</dcterms:created>
  <dcterms:modified xsi:type="dcterms:W3CDTF">2025-10-23T09:30:00Z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